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4064D3F" w:rsidP="1F33AA50" w:rsidRDefault="64064D3F" w14:paraId="51E8F0C5" w14:textId="126E811A">
      <w:pPr/>
    </w:p>
    <w:p w:rsidR="64064D3F" w:rsidP="1F33AA50" w:rsidRDefault="64064D3F" w14:paraId="03B408F3" w14:textId="0DB0F352">
      <w:pPr>
        <w:rPr>
          <w:rFonts w:ascii="Calibri" w:hAnsi="Calibri" w:eastAsia="Calibri" w:cs="Calibri"/>
          <w:b w:val="1"/>
          <w:bCs w:val="1"/>
          <w:noProof w:val="0"/>
          <w:sz w:val="22"/>
          <w:szCs w:val="22"/>
          <w:lang w:val="en-US"/>
        </w:rPr>
      </w:pPr>
      <w:r w:rsidRPr="1F33AA50" w:rsidR="4300C9CF">
        <w:rPr>
          <w:rFonts w:ascii="Calibri" w:hAnsi="Calibri" w:eastAsia="Calibri" w:cs="Calibri"/>
          <w:b w:val="1"/>
          <w:bCs w:val="1"/>
          <w:noProof w:val="0"/>
          <w:sz w:val="22"/>
          <w:szCs w:val="22"/>
          <w:lang w:val="en-US"/>
        </w:rPr>
        <w:t>Washington, DC (901 E)</w:t>
      </w:r>
      <w:r>
        <w:br/>
      </w:r>
      <w:r>
        <w:br/>
      </w:r>
      <w:r w:rsidRPr="1F33AA50" w:rsidR="4300C9CF">
        <w:rPr>
          <w:rFonts w:ascii="Calibri" w:hAnsi="Calibri" w:eastAsia="Calibri" w:cs="Calibri"/>
          <w:b w:val="1"/>
          <w:bCs w:val="1"/>
          <w:noProof w:val="0"/>
          <w:sz w:val="22"/>
          <w:szCs w:val="22"/>
          <w:lang w:val="en-US"/>
        </w:rPr>
        <w:t xml:space="preserve">The Environment Portfolio </w:t>
      </w:r>
      <w:r>
        <w:br/>
      </w:r>
      <w:r>
        <w:br/>
      </w:r>
      <w:r w:rsidRPr="1F33AA50" w:rsidR="4300C9CF">
        <w:rPr>
          <w:rFonts w:ascii="Calibri" w:hAnsi="Calibri" w:eastAsia="Calibri" w:cs="Calibri"/>
          <w:noProof w:val="0"/>
          <w:sz w:val="22"/>
          <w:szCs w:val="22"/>
          <w:lang w:val="en-US"/>
        </w:rPr>
        <w:t xml:space="preserve">For more than 30 years, Pew has been a major force in engaging the public and policy makers about the causes, consequences, and solutions to some of the world's most pressing environmental challenges. Our environment work spans all seven continents with more than 250 professionals working at the local, national, and international levels to reduce the scope and severity of global environmental problems, such as the erosion of large natural ecosystems that contain a great part of the world's remaining biodiversity, and the destruction of the marine environment. Pew's global environmental program focuses on science-based, nonpartisan, and sustainable solutions to help protect the planet and people. We work in partnership with governments, Indigenous rights holders, intergovernmental organizations, non-governmental organizations, local stakeholders, scientists, and other researchers to advance public policy so that nature and communities can thrive. </w:t>
      </w:r>
      <w:r>
        <w:br/>
      </w:r>
      <w:r>
        <w:br/>
      </w:r>
      <w:r w:rsidRPr="1F33AA50" w:rsidR="4300C9CF">
        <w:rPr>
          <w:rFonts w:ascii="Calibri" w:hAnsi="Calibri" w:eastAsia="Calibri" w:cs="Calibri"/>
          <w:noProof w:val="0"/>
          <w:sz w:val="22"/>
          <w:szCs w:val="22"/>
          <w:lang w:val="en-US"/>
        </w:rPr>
        <w:t xml:space="preserve">Since 1990, Pew has worked in North America, South America and Australia to protect large and critically important terrestrial ecosystems, including rivers and other freshwater resources, coastal temperate rainforests, interior mountain ranges, the northern boreal forests, Australia's Outback, and Chilean Patagonia. We work to ensure these natural systems remain bountiful, functioning, and resilient, providing essential ecological services such as clean air and clean water, sustenance and food security for local communities and more broadly for the welfare of current and future generations. Our work relies on the sciences of conservation, sociology, biology, and economics to advocate for practical and durable solutions to the loss of biodiversity. </w:t>
      </w:r>
      <w:r>
        <w:br/>
      </w:r>
      <w:r>
        <w:br/>
      </w:r>
      <w:r w:rsidRPr="1F33AA50" w:rsidR="4300C9CF">
        <w:rPr>
          <w:rFonts w:ascii="Calibri" w:hAnsi="Calibri" w:eastAsia="Calibri" w:cs="Calibri"/>
          <w:noProof w:val="0"/>
          <w:sz w:val="22"/>
          <w:szCs w:val="22"/>
          <w:lang w:val="en-US"/>
        </w:rPr>
        <w:t xml:space="preserve">In the sea, reforms to how our oceans are managed are essential to address overfishing, pollution, and loss of habitat. Pew began its oceans program in the United States, focusing on ending overfishing and protecting fragile marine habitat. Starting in 2005, Pew's ocean conservation program expanded around the world and played a significant role in reforming marine fisheries management in the European Union and on the high seas and creating large scale marine reserves around the world. Our work is grounded in the best available science and pursues domestic and international conservation measures that are long-term and provide permanent, durable protections for marine ecosystems. We also work to address systemic threats to the ocean, including from plastics, over-and-illegal fishing, seabed mining, and climate change. </w:t>
      </w:r>
      <w:r>
        <w:br/>
      </w:r>
      <w:r>
        <w:br/>
      </w:r>
      <w:r w:rsidRPr="1F33AA50" w:rsidR="4300C9CF">
        <w:rPr>
          <w:rFonts w:ascii="Calibri" w:hAnsi="Calibri" w:eastAsia="Calibri" w:cs="Calibri"/>
          <w:b w:val="1"/>
          <w:bCs w:val="1"/>
          <w:noProof w:val="0"/>
          <w:sz w:val="22"/>
          <w:szCs w:val="22"/>
          <w:lang w:val="en-US"/>
        </w:rPr>
        <w:t>Energy Modernization Project</w:t>
      </w:r>
      <w:r>
        <w:br/>
      </w:r>
      <w:r>
        <w:br/>
      </w:r>
      <w:r w:rsidRPr="1F33AA50" w:rsidR="4300C9CF">
        <w:rPr>
          <w:rFonts w:ascii="Calibri" w:hAnsi="Calibri" w:eastAsia="Calibri" w:cs="Calibri"/>
          <w:noProof w:val="0"/>
          <w:sz w:val="22"/>
          <w:szCs w:val="22"/>
          <w:lang w:val="en-US"/>
        </w:rPr>
        <w:t>The Energy Modernization Project is a new initiative that aims to secure decarbonization policies to advance clean energy technologies and reduce greenhouse gas emissions in the United States. The project's work centers on policies that accelerate the transition to electric vehicles, deploy offshore wind energy production, and modernize electricity grids to increase their capacity to deploy new renewable energy resources.</w:t>
      </w:r>
      <w:r>
        <w:br/>
      </w:r>
      <w:r>
        <w:br/>
      </w:r>
      <w:r w:rsidRPr="1F33AA50" w:rsidR="4300C9CF">
        <w:rPr>
          <w:rFonts w:ascii="Calibri" w:hAnsi="Calibri" w:eastAsia="Calibri" w:cs="Calibri"/>
          <w:b w:val="1"/>
          <w:bCs w:val="1"/>
          <w:noProof w:val="0"/>
          <w:sz w:val="22"/>
          <w:szCs w:val="22"/>
          <w:lang w:val="en-US"/>
        </w:rPr>
        <w:t xml:space="preserve">Position Overview </w:t>
      </w:r>
      <w:r>
        <w:br/>
      </w:r>
      <w:r>
        <w:br/>
      </w:r>
      <w:r w:rsidRPr="1F33AA50" w:rsidR="4300C9CF">
        <w:rPr>
          <w:rFonts w:ascii="Calibri" w:hAnsi="Calibri" w:eastAsia="Calibri" w:cs="Calibri"/>
          <w:noProof w:val="0"/>
          <w:sz w:val="22"/>
          <w:szCs w:val="22"/>
          <w:lang w:val="en-US"/>
        </w:rPr>
        <w:t>The officer, offshore wind, will serve as an expert for offshore wind policies and regulations at the federal level and across multiple states. The officer will serve as a subject matter expert to internal and external stakeholders including with government, industry and stakeholders. Reporting to the senior officer, the officer works closely with internal colleagues to support economic and social impact research related to offshore wind and renewables, collaborates on research design with external contractors and grantees, and informs offshore wind policy priorities and intersection with transportation and clean grid policy.</w:t>
      </w:r>
      <w:r>
        <w:br/>
      </w:r>
      <w:r>
        <w:br/>
      </w:r>
      <w:r w:rsidRPr="1F33AA50" w:rsidR="4300C9CF">
        <w:rPr>
          <w:rFonts w:ascii="Calibri" w:hAnsi="Calibri" w:eastAsia="Calibri" w:cs="Calibri"/>
          <w:noProof w:val="0"/>
          <w:sz w:val="22"/>
          <w:szCs w:val="22"/>
          <w:lang w:val="en-US"/>
        </w:rPr>
        <w:t>Located in Pew's Washington, DC, office, this position will participate in Pew's core in-office days on Tuesdays and Wednesdays and will have flexibility to work from home the remainder of each week.</w:t>
      </w:r>
      <w:r>
        <w:br/>
      </w:r>
      <w:r>
        <w:br/>
      </w:r>
      <w:r w:rsidRPr="1F33AA50" w:rsidR="4300C9CF">
        <w:rPr>
          <w:rFonts w:ascii="Calibri" w:hAnsi="Calibri" w:eastAsia="Calibri" w:cs="Calibri"/>
          <w:b w:val="1"/>
          <w:bCs w:val="1"/>
          <w:noProof w:val="0"/>
          <w:sz w:val="22"/>
          <w:szCs w:val="22"/>
          <w:lang w:val="en-US"/>
        </w:rPr>
        <w:t xml:space="preserve">Responsibilities </w:t>
      </w:r>
      <w:r>
        <w:br/>
      </w:r>
      <w:r>
        <w:br/>
      </w:r>
    </w:p>
    <w:p w:rsidR="64064D3F" w:rsidP="1F33AA50" w:rsidRDefault="64064D3F" w14:paraId="6E32B786" w14:textId="795D5A80">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Foster a work environment that is diverse, equitable, inclusive, and accessible and in line with Pew and the project's related goals.</w:t>
      </w:r>
    </w:p>
    <w:p w:rsidR="64064D3F" w:rsidP="1F33AA50" w:rsidRDefault="64064D3F" w14:paraId="34F28DBF" w14:textId="56D751E3">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Maintain a wide-ranging knowledge of state policy and regulations across 6-8 states on offshore wind.</w:t>
      </w:r>
    </w:p>
    <w:p w:rsidR="64064D3F" w:rsidP="1F33AA50" w:rsidRDefault="64064D3F" w14:paraId="29FB0EC5" w14:textId="454693EE">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Support the campaign team in analyzing state policy and regulations and develop related written content such as web analysis, policy fact sheets. This will include assessing the environmental, social or economic impacts or trade-offs.</w:t>
      </w:r>
    </w:p>
    <w:p w:rsidR="64064D3F" w:rsidP="1F33AA50" w:rsidRDefault="64064D3F" w14:paraId="651DF270" w14:textId="06E6183A">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Coordinate and manage on-the-ground partner relationships and coalition activities. Ensure effective communication and collaboration of activities to impact public policy.</w:t>
      </w:r>
    </w:p>
    <w:p w:rsidR="64064D3F" w:rsidP="1F33AA50" w:rsidRDefault="64064D3F" w14:paraId="7EEEB554" w14:textId="579D721B">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Provide technical assistance to state and federal government officials through written or oral testimony, research, white papers, or other convenings.</w:t>
      </w:r>
    </w:p>
    <w:p w:rsidR="64064D3F" w:rsidP="1F33AA50" w:rsidRDefault="64064D3F" w14:paraId="25D5206F" w14:textId="239DF960">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Project manage offshore wind research projects by collaborating on research design, tracking project deliverables and deadlines, ensuring coordination of activities with colleagues, and identifying emerging communications opportunities as needed.</w:t>
      </w:r>
    </w:p>
    <w:p w:rsidR="64064D3F" w:rsidP="1F33AA50" w:rsidRDefault="64064D3F" w14:paraId="30A02903" w14:textId="29174324">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Represent the project with external stakeholders at conferences and other expert opportunities and with national and state media.</w:t>
      </w:r>
    </w:p>
    <w:p w:rsidR="64064D3F" w:rsidP="1F33AA50" w:rsidRDefault="64064D3F" w14:paraId="31AD2A0A" w14:textId="74C5D4A7">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Contribute to and participate in tasks of the department, as well as broader Pew-related projects and activities.</w:t>
      </w:r>
    </w:p>
    <w:p w:rsidR="64064D3F" w:rsidP="1F33AA50" w:rsidRDefault="64064D3F" w14:paraId="7B394AB8" w14:textId="6797ED74">
      <w:pPr/>
    </w:p>
    <w:p w:rsidR="64064D3F" w:rsidP="1F33AA50" w:rsidRDefault="64064D3F" w14:paraId="2909DA16" w14:textId="00FA7456">
      <w:pPr/>
    </w:p>
    <w:p w:rsidR="64064D3F" w:rsidP="1F33AA50" w:rsidRDefault="64064D3F" w14:paraId="2798234E" w14:textId="22E42457">
      <w:pPr>
        <w:rPr>
          <w:rFonts w:ascii="Calibri" w:hAnsi="Calibri" w:eastAsia="Calibri" w:cs="Calibri"/>
          <w:b w:val="1"/>
          <w:bCs w:val="1"/>
          <w:noProof w:val="0"/>
          <w:sz w:val="22"/>
          <w:szCs w:val="22"/>
          <w:lang w:val="en-US"/>
        </w:rPr>
      </w:pPr>
      <w:r w:rsidRPr="1F33AA50" w:rsidR="4300C9CF">
        <w:rPr>
          <w:rFonts w:ascii="Calibri" w:hAnsi="Calibri" w:eastAsia="Calibri" w:cs="Calibri"/>
          <w:b w:val="1"/>
          <w:bCs w:val="1"/>
          <w:noProof w:val="0"/>
          <w:sz w:val="22"/>
          <w:szCs w:val="22"/>
          <w:lang w:val="en-US"/>
        </w:rPr>
        <w:t>Requirements</w:t>
      </w:r>
      <w:r>
        <w:br/>
      </w:r>
      <w:r>
        <w:br/>
      </w:r>
    </w:p>
    <w:p w:rsidR="64064D3F" w:rsidP="1F33AA50" w:rsidRDefault="64064D3F" w14:paraId="36F433AD" w14:textId="6B99F8CC">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Proven track record of applying effective qualitative analytical skills to synthesize large amounts of information quickly and summarize findings effectively, identify gaps in research and policy analysis, and develop ideas for research products that generate broad interest.</w:t>
      </w:r>
    </w:p>
    <w:p w:rsidR="64064D3F" w:rsidP="1F33AA50" w:rsidRDefault="64064D3F" w14:paraId="04775231" w14:textId="0A3C5E44">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 xml:space="preserve">Knowledge and experience working in the offshore wind industry or as an advocate for offshore wind at the federal or state level. </w:t>
      </w:r>
    </w:p>
    <w:p w:rsidR="64064D3F" w:rsidP="1F33AA50" w:rsidRDefault="64064D3F" w14:paraId="3C3D8A1B" w14:textId="454E69C8">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Aptitude to apply a non-partisan, evidence-based approach to projects and campaigns that require support across the political spectrum.</w:t>
      </w:r>
    </w:p>
    <w:p w:rsidR="64064D3F" w:rsidP="1F33AA50" w:rsidRDefault="64064D3F" w14:paraId="45D020E9" w14:textId="6C106144">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Excellent political, strategic and analytical skills with proven program management skills to develop, execute and evaluate a range of diverse strategies to achieve goals.</w:t>
      </w:r>
    </w:p>
    <w:p w:rsidR="64064D3F" w:rsidP="1F33AA50" w:rsidRDefault="64064D3F" w14:paraId="2F5B9BF9" w14:textId="41A98551">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Bachelor's degree or equivalent experience.</w:t>
      </w:r>
    </w:p>
    <w:p w:rsidR="64064D3F" w:rsidP="1F33AA50" w:rsidRDefault="64064D3F" w14:paraId="002CF7DF" w14:textId="260DEF67">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Generally 8 years of applicable experience.</w:t>
      </w:r>
    </w:p>
    <w:p w:rsidR="64064D3F" w:rsidP="1F33AA50" w:rsidRDefault="64064D3F" w14:paraId="164D41FD" w14:textId="2C64184A">
      <w:pPr/>
    </w:p>
    <w:p w:rsidR="64064D3F" w:rsidP="1F33AA50" w:rsidRDefault="64064D3F" w14:paraId="203C00EF" w14:textId="37942836">
      <w:pPr/>
    </w:p>
    <w:p w:rsidR="64064D3F" w:rsidP="1F33AA50" w:rsidRDefault="64064D3F" w14:paraId="3C6245EE" w14:textId="51833AF5">
      <w:pPr>
        <w:rPr>
          <w:rFonts w:ascii="Calibri" w:hAnsi="Calibri" w:eastAsia="Calibri" w:cs="Calibri"/>
          <w:b w:val="1"/>
          <w:bCs w:val="1"/>
          <w:noProof w:val="0"/>
          <w:sz w:val="22"/>
          <w:szCs w:val="22"/>
          <w:lang w:val="en-US"/>
        </w:rPr>
      </w:pPr>
      <w:r w:rsidRPr="1F33AA50" w:rsidR="4300C9CF">
        <w:rPr>
          <w:rFonts w:ascii="Calibri" w:hAnsi="Calibri" w:eastAsia="Calibri" w:cs="Calibri"/>
          <w:b w:val="1"/>
          <w:bCs w:val="1"/>
          <w:noProof w:val="0"/>
          <w:sz w:val="22"/>
          <w:szCs w:val="22"/>
          <w:lang w:val="en-US"/>
        </w:rPr>
        <w:t>Key attributes and preferred experience</w:t>
      </w:r>
      <w:r>
        <w:br/>
      </w:r>
      <w:r>
        <w:br/>
      </w:r>
    </w:p>
    <w:p w:rsidR="64064D3F" w:rsidP="1F33AA50" w:rsidRDefault="64064D3F" w14:paraId="7BAB51CD" w14:textId="286CEC27">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Naturally develops and manages productive and collaborative relationships.</w:t>
      </w:r>
    </w:p>
    <w:p w:rsidR="64064D3F" w:rsidP="1F33AA50" w:rsidRDefault="64064D3F" w14:paraId="3FA2EBFA" w14:textId="6E8B932F">
      <w:pPr>
        <w:pStyle w:val="ListParagraph"/>
        <w:numPr>
          <w:ilvl w:val="0"/>
          <w:numId w:val="22"/>
        </w:numPr>
        <w:spacing w:before="0" w:beforeAutospacing="off" w:after="0" w:afterAutospacing="off"/>
        <w:rPr>
          <w:rFonts w:ascii="Calibri" w:hAnsi="Calibri" w:eastAsia="Calibri" w:cs="Calibri"/>
          <w:noProof w:val="0"/>
          <w:sz w:val="22"/>
          <w:szCs w:val="22"/>
          <w:lang w:val="en-US"/>
        </w:rPr>
      </w:pPr>
      <w:r w:rsidRPr="1F33AA50" w:rsidR="4300C9CF">
        <w:rPr>
          <w:rFonts w:ascii="Calibri" w:hAnsi="Calibri" w:eastAsia="Calibri" w:cs="Calibri"/>
          <w:noProof w:val="0"/>
          <w:sz w:val="22"/>
          <w:szCs w:val="22"/>
          <w:lang w:val="en-US"/>
        </w:rPr>
        <w:t>Comfortable meeting multiple deadlines and balancing multiple projects at once.</w:t>
      </w:r>
    </w:p>
    <w:p w:rsidR="64064D3F" w:rsidP="1F33AA50" w:rsidRDefault="64064D3F" w14:paraId="156CA962" w14:textId="7EFF27F8">
      <w:pPr/>
    </w:p>
    <w:p w:rsidR="64064D3F" w:rsidP="1F33AA50" w:rsidRDefault="64064D3F" w14:paraId="37B6E520" w14:textId="76B0396C">
      <w:pPr/>
    </w:p>
    <w:p w:rsidR="64064D3F" w:rsidP="64064D3F" w:rsidRDefault="64064D3F" w14:paraId="61B4E671" w14:textId="0A6A7FF1">
      <w:pPr>
        <w:pStyle w:val="Normal"/>
      </w:pPr>
      <w:r w:rsidRPr="1F33AA50" w:rsidR="4300C9CF">
        <w:rPr>
          <w:rFonts w:ascii="Calibri" w:hAnsi="Calibri" w:eastAsia="Calibri" w:cs="Calibri"/>
          <w:b w:val="1"/>
          <w:bCs w:val="1"/>
          <w:noProof w:val="0"/>
          <w:sz w:val="22"/>
          <w:szCs w:val="22"/>
          <w:lang w:val="en-US"/>
        </w:rPr>
        <w:t xml:space="preserve">Total Rewards </w:t>
      </w:r>
      <w:r>
        <w:br/>
      </w:r>
      <w:r>
        <w:br/>
      </w:r>
      <w:r w:rsidRPr="1F33AA50" w:rsidR="4300C9CF">
        <w:rPr>
          <w:rFonts w:ascii="Calibri" w:hAnsi="Calibri" w:eastAsia="Calibri" w:cs="Calibri"/>
          <w:noProof w:val="0"/>
          <w:sz w:val="22"/>
          <w:szCs w:val="22"/>
          <w:lang w:val="en-US"/>
        </w:rPr>
        <w:t xml:space="preserve">We offer a competitive salary and benefit program, </w:t>
      </w:r>
      <w:r w:rsidRPr="1F33AA50" w:rsidR="4300C9CF">
        <w:rPr>
          <w:rFonts w:ascii="Calibri" w:hAnsi="Calibri" w:eastAsia="Calibri" w:cs="Calibri"/>
          <w:noProof w:val="0"/>
          <w:sz w:val="22"/>
          <w:szCs w:val="22"/>
          <w:lang w:val="en-US"/>
        </w:rPr>
        <w:t>including:</w:t>
      </w:r>
      <w:r w:rsidRPr="1F33AA50" w:rsidR="4300C9CF">
        <w:rPr>
          <w:rFonts w:ascii="Calibri" w:hAnsi="Calibri" w:eastAsia="Calibri" w:cs="Calibri"/>
          <w:noProof w:val="0"/>
          <w:sz w:val="22"/>
          <w:szCs w:val="22"/>
          <w:lang w:val="en-US"/>
        </w:rPr>
        <w:t xml:space="preserve"> comprehensive, affordable health care through medical, dental, and vision coverage; financial security with life and disability insurance; opportunities to save using health savings and flexible spending accounts; retirement benefits to help prepare for the future; and work/life benefits to </w:t>
      </w:r>
      <w:r w:rsidRPr="1F33AA50" w:rsidR="4300C9CF">
        <w:rPr>
          <w:rFonts w:ascii="Calibri" w:hAnsi="Calibri" w:eastAsia="Calibri" w:cs="Calibri"/>
          <w:noProof w:val="0"/>
          <w:sz w:val="22"/>
          <w:szCs w:val="22"/>
          <w:lang w:val="en-US"/>
        </w:rPr>
        <w:t>maintain</w:t>
      </w:r>
      <w:r w:rsidRPr="1F33AA50" w:rsidR="4300C9CF">
        <w:rPr>
          <w:rFonts w:ascii="Calibri" w:hAnsi="Calibri" w:eastAsia="Calibri" w:cs="Calibri"/>
          <w:noProof w:val="0"/>
          <w:sz w:val="22"/>
          <w:szCs w:val="22"/>
          <w:lang w:val="en-US"/>
        </w:rPr>
        <w:t xml:space="preserve"> a good balance. </w:t>
      </w:r>
      <w:r>
        <w:br/>
      </w:r>
      <w:r>
        <w:br/>
      </w:r>
      <w:r w:rsidRPr="1F33AA50" w:rsidR="4300C9CF">
        <w:rPr>
          <w:rFonts w:ascii="Calibri" w:hAnsi="Calibri" w:eastAsia="Calibri" w:cs="Calibri"/>
          <w:noProof w:val="0"/>
          <w:sz w:val="22"/>
          <w:szCs w:val="22"/>
          <w:lang w:val="en-US"/>
        </w:rPr>
        <w:t>The Pew Charitable Trusts is an equal opportunity employer, committed to a diverse and inclusive workplace. Pew considers qualified applicants for employment without regard to age, sex, ethnicity, religion, disability, marital status, sexual orientation or gender identity, military/veteran status, or any other basis prohibited by applicable law.</w:t>
      </w:r>
      <w:r>
        <w:br/>
      </w:r>
      <w:r>
        <w:br/>
      </w:r>
      <w:r w:rsidRPr="1F33AA50" w:rsidR="4300C9CF">
        <w:rPr>
          <w:rFonts w:ascii="Calibri" w:hAnsi="Calibri" w:eastAsia="Calibri" w:cs="Calibri"/>
          <w:noProof w:val="0"/>
          <w:sz w:val="22"/>
          <w:szCs w:val="22"/>
          <w:lang w:val="en-US"/>
        </w:rPr>
        <w:t xml:space="preserve">Apply Here: </w:t>
      </w:r>
      <w:hyperlink r:id="Rb055425bc5034c45">
        <w:r w:rsidRPr="1F33AA50" w:rsidR="4300C9CF">
          <w:rPr>
            <w:rStyle w:val="Hyperlink"/>
            <w:rFonts w:ascii="Calibri" w:hAnsi="Calibri" w:eastAsia="Calibri" w:cs="Calibri"/>
            <w:noProof w:val="0"/>
            <w:sz w:val="22"/>
            <w:szCs w:val="22"/>
            <w:lang w:val="en-US"/>
          </w:rPr>
          <w:t>https://www.click2apply.net/W4w56yu7lMZ1afWLkUjpDk</w:t>
        </w:r>
        <w:r>
          <w:br/>
        </w:r>
        <w:r>
          <w:br/>
        </w:r>
      </w:hyperlink>
      <w:r w:rsidRPr="1F33AA50" w:rsidR="4300C9CF">
        <w:rPr>
          <w:rFonts w:ascii="Calibri" w:hAnsi="Calibri" w:eastAsia="Calibri" w:cs="Calibri"/>
          <w:noProof w:val="0"/>
          <w:sz w:val="22"/>
          <w:szCs w:val="22"/>
          <w:lang w:val="en-US"/>
        </w:rPr>
        <w:t>PI236944274</w:t>
      </w:r>
    </w:p>
    <w:p w:rsidR="64064D3F" w:rsidP="64064D3F" w:rsidRDefault="64064D3F" w14:paraId="00441084" w14:textId="7D4554E0">
      <w:pPr>
        <w:pStyle w:val="Normal"/>
      </w:pPr>
    </w:p>
    <w:sectPr w:rsidR="003F7C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3223dd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fcce3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36e7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5b122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9f9b3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3c38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13fd1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def1d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6fb64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1024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c091d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a54d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b0c61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5c3a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6a974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4f2e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2e396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D60CAF"/>
    <w:multiLevelType w:val="multilevel"/>
    <w:tmpl w:val="6EF4F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246599E"/>
    <w:multiLevelType w:val="multilevel"/>
    <w:tmpl w:val="94F625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C5E54F9"/>
    <w:multiLevelType w:val="multilevel"/>
    <w:tmpl w:val="371C7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0D6327A"/>
    <w:multiLevelType w:val="multilevel"/>
    <w:tmpl w:val="6614A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80A71EE"/>
    <w:multiLevelType w:val="multilevel"/>
    <w:tmpl w:val="154454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16cid:durableId="625089937">
    <w:abstractNumId w:val="1"/>
  </w:num>
  <w:num w:numId="2" w16cid:durableId="222916313">
    <w:abstractNumId w:val="0"/>
  </w:num>
  <w:num w:numId="3" w16cid:durableId="1059669814">
    <w:abstractNumId w:val="2"/>
  </w:num>
  <w:num w:numId="4" w16cid:durableId="581723088">
    <w:abstractNumId w:val="3"/>
  </w:num>
  <w:num w:numId="5" w16cid:durableId="1430465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E5"/>
    <w:rsid w:val="00016C61"/>
    <w:rsid w:val="0003091B"/>
    <w:rsid w:val="00031719"/>
    <w:rsid w:val="000B300A"/>
    <w:rsid w:val="000B7D72"/>
    <w:rsid w:val="001046FE"/>
    <w:rsid w:val="00144780"/>
    <w:rsid w:val="00275A9B"/>
    <w:rsid w:val="002E01BF"/>
    <w:rsid w:val="003B5BA3"/>
    <w:rsid w:val="003F7CDF"/>
    <w:rsid w:val="005A6AB5"/>
    <w:rsid w:val="005C2D2E"/>
    <w:rsid w:val="005D03C4"/>
    <w:rsid w:val="00612670"/>
    <w:rsid w:val="00615FE4"/>
    <w:rsid w:val="00652936"/>
    <w:rsid w:val="00657CC9"/>
    <w:rsid w:val="0076144D"/>
    <w:rsid w:val="00761A2E"/>
    <w:rsid w:val="00787FE5"/>
    <w:rsid w:val="007976DD"/>
    <w:rsid w:val="007B59EA"/>
    <w:rsid w:val="008672F5"/>
    <w:rsid w:val="00881136"/>
    <w:rsid w:val="008F579F"/>
    <w:rsid w:val="009162C3"/>
    <w:rsid w:val="00973DA1"/>
    <w:rsid w:val="00A23410"/>
    <w:rsid w:val="00A847F5"/>
    <w:rsid w:val="00A85F5A"/>
    <w:rsid w:val="00C92372"/>
    <w:rsid w:val="00CE3E1F"/>
    <w:rsid w:val="00D00FDA"/>
    <w:rsid w:val="00D56A67"/>
    <w:rsid w:val="00F31DFC"/>
    <w:rsid w:val="00F36C96"/>
    <w:rsid w:val="08DE2F48"/>
    <w:rsid w:val="0AD32E04"/>
    <w:rsid w:val="0AECE9E3"/>
    <w:rsid w:val="0F9614F2"/>
    <w:rsid w:val="10072F47"/>
    <w:rsid w:val="10258E8F"/>
    <w:rsid w:val="11E72B92"/>
    <w:rsid w:val="17AE4D16"/>
    <w:rsid w:val="18A815ED"/>
    <w:rsid w:val="1B0AA726"/>
    <w:rsid w:val="1C55330C"/>
    <w:rsid w:val="1C9499F9"/>
    <w:rsid w:val="1D428C84"/>
    <w:rsid w:val="1E75EA25"/>
    <w:rsid w:val="1F33AA50"/>
    <w:rsid w:val="217E2CF5"/>
    <w:rsid w:val="26FEB00D"/>
    <w:rsid w:val="281E10CD"/>
    <w:rsid w:val="2B994583"/>
    <w:rsid w:val="31D8EC05"/>
    <w:rsid w:val="32AE6C8A"/>
    <w:rsid w:val="365F4A83"/>
    <w:rsid w:val="38736E17"/>
    <w:rsid w:val="3997D982"/>
    <w:rsid w:val="3E7F8599"/>
    <w:rsid w:val="4040C412"/>
    <w:rsid w:val="4300C9CF"/>
    <w:rsid w:val="43D980D1"/>
    <w:rsid w:val="447CAA06"/>
    <w:rsid w:val="483FB742"/>
    <w:rsid w:val="4AE64767"/>
    <w:rsid w:val="4F7F3A5B"/>
    <w:rsid w:val="509EDB7C"/>
    <w:rsid w:val="5144F0AC"/>
    <w:rsid w:val="523AABDD"/>
    <w:rsid w:val="564BF608"/>
    <w:rsid w:val="581DF2EC"/>
    <w:rsid w:val="582F74ED"/>
    <w:rsid w:val="5B69506E"/>
    <w:rsid w:val="6258BD2D"/>
    <w:rsid w:val="64064D3F"/>
    <w:rsid w:val="64667CAF"/>
    <w:rsid w:val="6513D007"/>
    <w:rsid w:val="66D29618"/>
    <w:rsid w:val="69DC9600"/>
    <w:rsid w:val="6F166937"/>
    <w:rsid w:val="757B53F7"/>
    <w:rsid w:val="7867F21B"/>
    <w:rsid w:val="79359CD8"/>
    <w:rsid w:val="7AAC1967"/>
    <w:rsid w:val="7CA6DA52"/>
    <w:rsid w:val="7FEB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6FD86"/>
  <w15:chartTrackingRefBased/>
  <w15:docId w15:val="{2F78B789-7288-4427-ADC6-4FA8C3B9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787FE5"/>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87FE5"/>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787FE5"/>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57CC9"/>
    <w:rPr>
      <w:color w:val="0563C1" w:themeColor="hyperlink"/>
      <w:u w:val="single"/>
    </w:rPr>
  </w:style>
  <w:style w:type="character" w:styleId="UnresolvedMention">
    <w:name w:val="Unresolved Mention"/>
    <w:basedOn w:val="DefaultParagraphFont"/>
    <w:uiPriority w:val="99"/>
    <w:semiHidden/>
    <w:unhideWhenUsed/>
    <w:rsid w:val="00657CC9"/>
    <w:rPr>
      <w:color w:val="605E5C"/>
      <w:shd w:val="clear" w:color="auto" w:fill="E1DFDD"/>
    </w:rPr>
  </w:style>
  <w:style w:type="character" w:styleId="FollowedHyperlink">
    <w:name w:val="FollowedHyperlink"/>
    <w:basedOn w:val="DefaultParagraphFont"/>
    <w:uiPriority w:val="99"/>
    <w:semiHidden/>
    <w:unhideWhenUsed/>
    <w:rsid w:val="00612670"/>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click2apply.net/W4w56yu7lMZ1afWLkUjpDk" TargetMode="External" Id="Rb055425bc5034c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NeoGenomics Laboratories,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Sylvia</dc:creator>
  <keywords/>
  <dc:description/>
  <lastModifiedBy>Ariston Torniado Jr</lastModifiedBy>
  <revision>21</revision>
  <dcterms:created xsi:type="dcterms:W3CDTF">2024-02-05T18:46:00.0000000Z</dcterms:created>
  <dcterms:modified xsi:type="dcterms:W3CDTF">2024-02-16T21:13:53.5213834Z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e76a38cd2f5a73e7fa14bf20dbdd300d44e864595cab9f8d3e5090f7052a2409</vt:lpwstr>
  </property>
</Properties>
</file>